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97" w:rsidRDefault="00673E97" w:rsidP="00673E97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 TSG RAN WG1 Meeting #80bis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  <w:t>R1-15</w:t>
      </w:r>
      <w:r w:rsidR="009D0E63">
        <w:rPr>
          <w:rFonts w:ascii="Arial" w:eastAsia="SimSun" w:hAnsi="Arial" w:cs="Arial"/>
          <w:b/>
          <w:bCs/>
          <w:noProof/>
          <w:lang w:eastAsia="zh-CN"/>
        </w:rPr>
        <w:t>2110</w:t>
      </w:r>
    </w:p>
    <w:p w:rsidR="00673E97" w:rsidRDefault="00673E97" w:rsidP="00673E97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Belgrade, Serbia, 20</w:t>
      </w:r>
      <w:r w:rsidRPr="00917ED6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– 24</w:t>
      </w:r>
      <w:r w:rsidRPr="00CD503E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April 2015</w:t>
      </w:r>
    </w:p>
    <w:p w:rsidR="00B04133" w:rsidRDefault="00B04133" w:rsidP="00E14542">
      <w:pPr>
        <w:pStyle w:val="FootnoteText"/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331C9">
        <w:rPr>
          <w:sz w:val="20"/>
          <w:lang w:val="en-US"/>
        </w:rPr>
        <w:t>, Huawei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9D0E63">
        <w:rPr>
          <w:sz w:val="20"/>
          <w:lang w:val="en-US"/>
        </w:rPr>
        <w:t>Cover Sheet for Draft TR Update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D0E63">
        <w:rPr>
          <w:sz w:val="20"/>
          <w:lang w:val="en-US"/>
        </w:rPr>
        <w:t>7.2.4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B04133" w:rsidRDefault="009D0E63" w:rsidP="00B04133">
      <w:pPr>
        <w:pStyle w:val="Heading1"/>
        <w:rPr>
          <w:lang w:val="en-US"/>
        </w:rPr>
      </w:pPr>
      <w:r>
        <w:rPr>
          <w:lang w:val="en-US"/>
        </w:rPr>
        <w:t>Agreements Incorporated</w:t>
      </w:r>
    </w:p>
    <w:p w:rsidR="00030673" w:rsidRDefault="009D0E63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The attached draft TR 36.889 v0.3.2 incorporates the following agreements</w:t>
      </w:r>
      <w:r w:rsidR="00A66F08">
        <w:rPr>
          <w:rFonts w:ascii="Times New Roman" w:hAnsi="Times New Roman" w:cs="Times New Roman"/>
        </w:rPr>
        <w:t>.</w:t>
      </w:r>
    </w:p>
    <w:p w:rsidR="009D0E63" w:rsidRPr="00D20A03" w:rsidRDefault="009D0E63" w:rsidP="009D0E63">
      <w:pPr>
        <w:rPr>
          <w:rFonts w:eastAsia="MS Mincho"/>
          <w:iCs/>
        </w:rPr>
      </w:pPr>
      <w:proofErr w:type="gramStart"/>
      <w:r w:rsidRPr="00D10C99">
        <w:rPr>
          <w:rFonts w:eastAsia="MS Mincho"/>
          <w:b/>
          <w:iCs/>
        </w:rPr>
        <w:t>R1-151142</w:t>
      </w:r>
      <w:r w:rsidRPr="00D20A03">
        <w:rPr>
          <w:rFonts w:eastAsia="MS Mincho"/>
          <w:iCs/>
        </w:rPr>
        <w:tab/>
      </w:r>
      <w:r w:rsidRPr="009D0E63">
        <w:rPr>
          <w:rFonts w:eastAsia="MS Mincho"/>
          <w:iCs/>
        </w:rPr>
        <w:t>Text proposal for TR 36.889 on Considerations of Introducing Licensed-assisted Access to Unlicensed Spectrum and Importance of Licensed Spectrum</w:t>
      </w:r>
      <w:r w:rsidRPr="009D0E63">
        <w:rPr>
          <w:rFonts w:eastAsia="MS Mincho"/>
          <w:iCs/>
        </w:rPr>
        <w:tab/>
        <w:t>Ericsson Inc.</w:t>
      </w:r>
      <w:proofErr w:type="gramEnd"/>
    </w:p>
    <w:p w:rsidR="009D0E63" w:rsidRDefault="009D0E63" w:rsidP="009D0E63">
      <w:pPr>
        <w:jc w:val="both"/>
        <w:rPr>
          <w:rFonts w:eastAsia="MS Mincho"/>
          <w:iCs/>
        </w:rPr>
      </w:pPr>
      <w:r w:rsidRPr="00D10C99">
        <w:rPr>
          <w:rFonts w:eastAsia="MS Mincho" w:hint="eastAsia"/>
          <w:iCs/>
          <w:highlight w:val="green"/>
        </w:rPr>
        <w:t>Agreed in principle, rapporteur will reflect it to updated TR</w:t>
      </w:r>
    </w:p>
    <w:p w:rsidR="009D0E63" w:rsidRDefault="009D0E63" w:rsidP="009D0E63">
      <w:pPr>
        <w:jc w:val="both"/>
        <w:rPr>
          <w:rFonts w:eastAsia="MS Mincho"/>
          <w:iCs/>
        </w:rPr>
      </w:pPr>
    </w:p>
    <w:p w:rsidR="009D0E63" w:rsidRPr="0019378A" w:rsidRDefault="009D0E63" w:rsidP="009D0E63">
      <w:pPr>
        <w:rPr>
          <w:rFonts w:eastAsia="MS Mincho"/>
          <w:b/>
          <w:iCs/>
          <w:u w:val="single"/>
        </w:rPr>
      </w:pPr>
      <w:r w:rsidRPr="0019378A">
        <w:rPr>
          <w:rFonts w:eastAsia="MS Mincho" w:hint="eastAsia"/>
          <w:b/>
          <w:iCs/>
          <w:highlight w:val="green"/>
          <w:u w:val="single"/>
        </w:rPr>
        <w:t>Agreements:</w:t>
      </w:r>
    </w:p>
    <w:p w:rsidR="009D0E63" w:rsidRPr="0019378A" w:rsidRDefault="009D0E63" w:rsidP="009D0E63">
      <w:pPr>
        <w:numPr>
          <w:ilvl w:val="0"/>
          <w:numId w:val="25"/>
        </w:numPr>
        <w:spacing w:after="0" w:line="240" w:lineRule="auto"/>
        <w:rPr>
          <w:rFonts w:eastAsia="MS Mincho"/>
          <w:iCs/>
        </w:rPr>
      </w:pPr>
      <w:r w:rsidRPr="0019378A">
        <w:rPr>
          <w:rFonts w:eastAsia="MS Mincho"/>
          <w:iCs/>
        </w:rPr>
        <w:t>Replace the following note in TR 36.889 section 7.1:</w:t>
      </w:r>
    </w:p>
    <w:p w:rsidR="009D0E63" w:rsidRPr="0019378A" w:rsidRDefault="009D0E63" w:rsidP="009D0E63">
      <w:pPr>
        <w:numPr>
          <w:ilvl w:val="1"/>
          <w:numId w:val="25"/>
        </w:numPr>
        <w:spacing w:after="0" w:line="240" w:lineRule="auto"/>
        <w:rPr>
          <w:rFonts w:eastAsia="MS Mincho"/>
          <w:iCs/>
        </w:rPr>
      </w:pPr>
      <w:r w:rsidRPr="0019378A">
        <w:rPr>
          <w:rFonts w:eastAsia="MS Mincho"/>
          <w:i/>
          <w:iCs/>
        </w:rPr>
        <w:t xml:space="preserve">It is noted that not all above functionalities may have a specification impact and not all above functionalities would be mandatory for all LAA </w:t>
      </w:r>
      <w:proofErr w:type="spellStart"/>
      <w:r w:rsidRPr="0019378A">
        <w:rPr>
          <w:rFonts w:eastAsia="MS Mincho"/>
          <w:i/>
          <w:iCs/>
        </w:rPr>
        <w:t>eNBs</w:t>
      </w:r>
      <w:proofErr w:type="spellEnd"/>
      <w:r w:rsidRPr="0019378A">
        <w:rPr>
          <w:rFonts w:eastAsia="MS Mincho"/>
          <w:i/>
          <w:iCs/>
        </w:rPr>
        <w:t>/UEs.</w:t>
      </w:r>
    </w:p>
    <w:p w:rsidR="009D0E63" w:rsidRPr="0019378A" w:rsidRDefault="009D0E63" w:rsidP="009D0E63">
      <w:pPr>
        <w:numPr>
          <w:ilvl w:val="0"/>
          <w:numId w:val="25"/>
        </w:numPr>
        <w:spacing w:after="0" w:line="240" w:lineRule="auto"/>
        <w:rPr>
          <w:rFonts w:eastAsia="MS Mincho"/>
          <w:iCs/>
        </w:rPr>
      </w:pPr>
      <w:r w:rsidRPr="0019378A">
        <w:rPr>
          <w:rFonts w:eastAsia="MS Mincho"/>
          <w:iCs/>
        </w:rPr>
        <w:t>By:</w:t>
      </w:r>
    </w:p>
    <w:p w:rsidR="009D0E63" w:rsidRDefault="009D0E63" w:rsidP="009D0E63">
      <w:pPr>
        <w:jc w:val="both"/>
        <w:rPr>
          <w:rFonts w:eastAsia="MS Mincho"/>
          <w:i/>
          <w:iCs/>
        </w:rPr>
      </w:pPr>
      <w:r w:rsidRPr="0019378A">
        <w:rPr>
          <w:rFonts w:eastAsia="MS Mincho"/>
          <w:i/>
          <w:iCs/>
        </w:rPr>
        <w:t>It is noted that not all above functionalities may have a specification impact</w:t>
      </w:r>
      <w:r>
        <w:rPr>
          <w:rFonts w:eastAsia="MS Mincho" w:hint="eastAsia"/>
          <w:i/>
          <w:iCs/>
        </w:rPr>
        <w:t>.</w:t>
      </w:r>
    </w:p>
    <w:p w:rsidR="009D0E63" w:rsidRDefault="009D0E63" w:rsidP="009D0E63">
      <w:pPr>
        <w:jc w:val="both"/>
        <w:rPr>
          <w:rFonts w:eastAsia="MS Mincho"/>
          <w:i/>
          <w:iCs/>
        </w:rPr>
      </w:pPr>
    </w:p>
    <w:p w:rsidR="008C4049" w:rsidRDefault="008C4049" w:rsidP="008C4049">
      <w:pPr>
        <w:rPr>
          <w:rFonts w:eastAsia="MS Mincho"/>
          <w:b/>
          <w:iCs/>
          <w:u w:val="single"/>
        </w:rPr>
      </w:pPr>
      <w:r>
        <w:rPr>
          <w:rFonts w:eastAsia="MS Mincho"/>
          <w:b/>
          <w:iCs/>
          <w:highlight w:val="green"/>
          <w:u w:val="single"/>
        </w:rPr>
        <w:t>Agreements:</w:t>
      </w:r>
    </w:p>
    <w:p w:rsidR="008C4049" w:rsidRDefault="008C4049" w:rsidP="008C404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Revise the agreement from RAN1#80 as follows:</w:t>
      </w:r>
    </w:p>
    <w:p w:rsidR="008C4049" w:rsidRDefault="008C4049" w:rsidP="008C4049">
      <w:pPr>
        <w:numPr>
          <w:ilvl w:val="1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Classify the evaluated channel access schemes according to the following categories:</w:t>
      </w:r>
    </w:p>
    <w:p w:rsidR="008C4049" w:rsidRDefault="008C4049" w:rsidP="008C4049">
      <w:pPr>
        <w:numPr>
          <w:ilvl w:val="2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Category 1: No LBT</w:t>
      </w:r>
    </w:p>
    <w:p w:rsidR="008C4049" w:rsidRDefault="008C4049" w:rsidP="008C4049">
      <w:pPr>
        <w:numPr>
          <w:ilvl w:val="2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Category 2: LBT without random back-off</w:t>
      </w:r>
    </w:p>
    <w:p w:rsidR="008C4049" w:rsidRDefault="008C4049" w:rsidP="008C4049">
      <w:pPr>
        <w:numPr>
          <w:ilvl w:val="2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Category 3: LBT with random back-off with fixed size of contention window</w:t>
      </w:r>
    </w:p>
    <w:p w:rsidR="008C4049" w:rsidRDefault="008C4049" w:rsidP="008C4049">
      <w:pPr>
        <w:numPr>
          <w:ilvl w:val="2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Category 4: LBT with random back-off with variable size of contention window</w:t>
      </w:r>
    </w:p>
    <w:p w:rsidR="008C4049" w:rsidRDefault="008C4049" w:rsidP="008C4049">
      <w:pPr>
        <w:numPr>
          <w:ilvl w:val="1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Note: Contention window is the maximum possible random back-off value</w:t>
      </w:r>
    </w:p>
    <w:p w:rsidR="008C4049" w:rsidRDefault="008C4049" w:rsidP="008C4049">
      <w:pPr>
        <w:numPr>
          <w:ilvl w:val="1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Note: Category classification does not restrict a LBT design investigation</w:t>
      </w:r>
    </w:p>
    <w:p w:rsidR="008C4049" w:rsidRPr="008C4049" w:rsidRDefault="008C4049" w:rsidP="008C4049">
      <w:pPr>
        <w:numPr>
          <w:ilvl w:val="1"/>
          <w:numId w:val="28"/>
        </w:num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Note: Company is encouraged to evaluate many categories as much as possible</w:t>
      </w:r>
      <w:bookmarkStart w:id="3" w:name="_GoBack"/>
      <w:bookmarkEnd w:id="3"/>
    </w:p>
    <w:p w:rsidR="008C4049" w:rsidRDefault="008C4049" w:rsidP="009D0E63">
      <w:pPr>
        <w:jc w:val="both"/>
        <w:rPr>
          <w:rFonts w:eastAsia="MS Mincho"/>
          <w:i/>
          <w:iCs/>
        </w:rPr>
      </w:pPr>
    </w:p>
    <w:p w:rsidR="009D0E63" w:rsidRPr="00C04642" w:rsidRDefault="009D0E63" w:rsidP="009D0E63">
      <w:pPr>
        <w:rPr>
          <w:rFonts w:eastAsia="MS Mincho"/>
          <w:b/>
          <w:bCs/>
          <w:u w:val="single"/>
        </w:rPr>
      </w:pPr>
      <w:r w:rsidRPr="00C04642">
        <w:rPr>
          <w:rFonts w:eastAsia="MS Mincho" w:hint="eastAsia"/>
          <w:b/>
          <w:bCs/>
          <w:highlight w:val="green"/>
          <w:u w:val="single"/>
        </w:rPr>
        <w:t>Agreements:</w:t>
      </w:r>
    </w:p>
    <w:p w:rsidR="009D0E63" w:rsidRPr="009D0E63" w:rsidRDefault="009D0E63" w:rsidP="009D0E63">
      <w:pPr>
        <w:rPr>
          <w:rFonts w:eastAsia="MS Mincho"/>
          <w:bCs/>
        </w:rPr>
      </w:pPr>
      <w:r w:rsidRPr="009D0E63">
        <w:rPr>
          <w:rFonts w:eastAsia="MS Mincho" w:hint="eastAsia"/>
          <w:bCs/>
        </w:rPr>
        <w:t>Agreed following additional assumptions as an optional</w:t>
      </w:r>
    </w:p>
    <w:p w:rsidR="009D0E63" w:rsidRPr="009D0E63" w:rsidRDefault="009D0E63" w:rsidP="009D0E63">
      <w:pPr>
        <w:numPr>
          <w:ilvl w:val="0"/>
          <w:numId w:val="26"/>
        </w:numPr>
        <w:spacing w:after="0" w:line="240" w:lineRule="auto"/>
        <w:rPr>
          <w:rFonts w:eastAsia="MS Mincho"/>
          <w:bCs/>
        </w:rPr>
      </w:pPr>
      <w:r w:rsidRPr="009D0E63">
        <w:rPr>
          <w:rFonts w:eastAsia="MS Mincho"/>
          <w:bCs/>
        </w:rPr>
        <w:t xml:space="preserve">Explicit </w:t>
      </w:r>
      <w:proofErr w:type="spellStart"/>
      <w:r w:rsidRPr="009D0E63">
        <w:rPr>
          <w:rFonts w:eastAsia="MS Mincho"/>
          <w:bCs/>
        </w:rPr>
        <w:t>TxBF</w:t>
      </w:r>
      <w:proofErr w:type="spellEnd"/>
      <w:r w:rsidRPr="009D0E63">
        <w:rPr>
          <w:rFonts w:eastAsia="MS Mincho"/>
          <w:bCs/>
        </w:rPr>
        <w:t>, closed loop MCS/rank adaptation using explicit TXBF information, &amp; short GI for Wi-Fi nodes  evaluat</w:t>
      </w:r>
      <w:r w:rsidRPr="009D0E63">
        <w:rPr>
          <w:rFonts w:eastAsia="MS Mincho" w:hint="eastAsia"/>
          <w:bCs/>
        </w:rPr>
        <w:t>ions</w:t>
      </w:r>
      <w:r w:rsidRPr="009D0E63">
        <w:rPr>
          <w:rFonts w:eastAsia="MS Mincho"/>
          <w:bCs/>
        </w:rPr>
        <w:t xml:space="preserve"> in the Y=1 indoor scenario</w:t>
      </w:r>
    </w:p>
    <w:p w:rsidR="009D0E63" w:rsidRPr="009D0E63" w:rsidRDefault="009D0E63" w:rsidP="009D0E63">
      <w:pPr>
        <w:numPr>
          <w:ilvl w:val="1"/>
          <w:numId w:val="26"/>
        </w:numPr>
        <w:spacing w:after="0" w:line="240" w:lineRule="auto"/>
        <w:rPr>
          <w:rFonts w:eastAsia="MS Mincho"/>
          <w:bCs/>
        </w:rPr>
      </w:pPr>
      <w:r w:rsidRPr="009D0E63">
        <w:rPr>
          <w:rFonts w:eastAsia="MS Mincho" w:hint="eastAsia"/>
          <w:bCs/>
        </w:rPr>
        <w:t>Assumptions of required feedback to support those functionalities should be provided in each contribution</w:t>
      </w:r>
    </w:p>
    <w:p w:rsidR="009D0E63" w:rsidRDefault="009D0E63" w:rsidP="009D0E63">
      <w:pPr>
        <w:rPr>
          <w:rFonts w:eastAsia="MS Mincho"/>
          <w:bCs/>
        </w:rPr>
      </w:pPr>
      <w:r w:rsidRPr="009D0E63">
        <w:rPr>
          <w:rFonts w:eastAsia="MS Mincho" w:hint="eastAsia"/>
          <w:bCs/>
        </w:rPr>
        <w:t>Note: RAN1 urges companies in the future to bring up additional simulation assumptions in time.</w:t>
      </w:r>
    </w:p>
    <w:p w:rsidR="009D0E63" w:rsidRDefault="009D0E63" w:rsidP="009D0E63">
      <w:pPr>
        <w:rPr>
          <w:rFonts w:eastAsia="MS Mincho"/>
          <w:bCs/>
        </w:rPr>
      </w:pPr>
    </w:p>
    <w:p w:rsidR="009D0E63" w:rsidRPr="00C04642" w:rsidRDefault="009D0E63" w:rsidP="009D0E63">
      <w:pPr>
        <w:rPr>
          <w:rFonts w:eastAsia="MS Mincho"/>
          <w:b/>
          <w:bCs/>
          <w:u w:val="single"/>
        </w:rPr>
      </w:pPr>
      <w:r w:rsidRPr="00C04642">
        <w:rPr>
          <w:rFonts w:eastAsia="MS Mincho" w:hint="eastAsia"/>
          <w:b/>
          <w:bCs/>
          <w:highlight w:val="green"/>
          <w:u w:val="single"/>
        </w:rPr>
        <w:lastRenderedPageBreak/>
        <w:t>Agreements:</w:t>
      </w:r>
    </w:p>
    <w:p w:rsidR="009D0E63" w:rsidRPr="009D0E63" w:rsidRDefault="009D0E63" w:rsidP="009D0E63">
      <w:pPr>
        <w:numPr>
          <w:ilvl w:val="0"/>
          <w:numId w:val="27"/>
        </w:numPr>
        <w:spacing w:after="0" w:line="240" w:lineRule="auto"/>
        <w:rPr>
          <w:rFonts w:eastAsia="MS Mincho"/>
          <w:bCs/>
        </w:rPr>
      </w:pPr>
      <w:r w:rsidRPr="009D0E63">
        <w:rPr>
          <w:rFonts w:eastAsia="MS Mincho"/>
          <w:bCs/>
        </w:rPr>
        <w:t>For the case of DL+UL traffic,</w:t>
      </w:r>
    </w:p>
    <w:p w:rsidR="009D0E63" w:rsidRPr="009D0E63" w:rsidRDefault="009D0E63" w:rsidP="009D0E63">
      <w:pPr>
        <w:numPr>
          <w:ilvl w:val="1"/>
          <w:numId w:val="27"/>
        </w:numPr>
        <w:spacing w:after="0" w:line="240" w:lineRule="auto"/>
        <w:rPr>
          <w:rFonts w:eastAsia="MS Mincho"/>
          <w:bCs/>
        </w:rPr>
      </w:pPr>
      <w:r w:rsidRPr="009D0E63">
        <w:rPr>
          <w:rFonts w:eastAsia="MS Mincho"/>
          <w:bCs/>
        </w:rPr>
        <w:t xml:space="preserve">Buffer occupancy (BO) definition of </w:t>
      </w:r>
      <w:proofErr w:type="gramStart"/>
      <w:r w:rsidRPr="009D0E63">
        <w:rPr>
          <w:rFonts w:eastAsia="MS Mincho"/>
          <w:bCs/>
        </w:rPr>
        <w:t xml:space="preserve">the </w:t>
      </w:r>
      <w:proofErr w:type="spellStart"/>
      <w:r w:rsidRPr="009D0E63">
        <w:rPr>
          <w:rFonts w:eastAsia="MS Mincho"/>
          <w:bCs/>
        </w:rPr>
        <w:t>i</w:t>
      </w:r>
      <w:proofErr w:type="gramEnd"/>
      <w:r w:rsidRPr="009D0E63">
        <w:rPr>
          <w:rFonts w:eastAsia="MS Mincho"/>
          <w:bCs/>
        </w:rPr>
        <w:t>-th</w:t>
      </w:r>
      <w:proofErr w:type="spellEnd"/>
      <w:r w:rsidRPr="009D0E63">
        <w:rPr>
          <w:rFonts w:eastAsia="MS Mincho"/>
          <w:bCs/>
        </w:rPr>
        <w:t xml:space="preserve"> small cell = sum of the period of time during which at least one of the </w:t>
      </w:r>
      <w:proofErr w:type="spellStart"/>
      <w:r w:rsidRPr="009D0E63">
        <w:rPr>
          <w:rFonts w:eastAsia="MS Mincho"/>
          <w:bCs/>
        </w:rPr>
        <w:t>i-th</w:t>
      </w:r>
      <w:proofErr w:type="spellEnd"/>
      <w:r w:rsidRPr="009D0E63">
        <w:rPr>
          <w:rFonts w:eastAsia="MS Mincho"/>
          <w:bCs/>
        </w:rPr>
        <w:t xml:space="preserve"> small cell and UEs (belonging to the </w:t>
      </w:r>
      <w:proofErr w:type="spellStart"/>
      <w:r w:rsidRPr="009D0E63">
        <w:rPr>
          <w:rFonts w:eastAsia="MS Mincho"/>
          <w:bCs/>
        </w:rPr>
        <w:t>i-th</w:t>
      </w:r>
      <w:proofErr w:type="spellEnd"/>
      <w:r w:rsidRPr="009D0E63">
        <w:rPr>
          <w:rFonts w:eastAsia="MS Mincho"/>
          <w:bCs/>
        </w:rPr>
        <w:t xml:space="preserve"> small cell) has data to transmit including retransmissions (i.e., its queue is not empty) / total simulation time.</w:t>
      </w:r>
    </w:p>
    <w:p w:rsidR="009D0E63" w:rsidRPr="009D0E63" w:rsidRDefault="009D0E63" w:rsidP="009D0E63">
      <w:pPr>
        <w:numPr>
          <w:ilvl w:val="1"/>
          <w:numId w:val="27"/>
        </w:numPr>
        <w:spacing w:after="0" w:line="240" w:lineRule="auto"/>
        <w:rPr>
          <w:rFonts w:eastAsia="MS Mincho"/>
          <w:b/>
          <w:bCs/>
        </w:rPr>
      </w:pPr>
      <w:r w:rsidRPr="009D0E63">
        <w:rPr>
          <w:rFonts w:eastAsia="MS Mincho"/>
          <w:bCs/>
        </w:rPr>
        <w:t>The BO averaged over the small cells of an operator is used to classify the simulation results as in the DL only case.</w:t>
      </w:r>
    </w:p>
    <w:p w:rsidR="009D0E63" w:rsidRPr="00C04642" w:rsidRDefault="009D0E63" w:rsidP="009D0E63">
      <w:pPr>
        <w:rPr>
          <w:rFonts w:eastAsia="MS Mincho"/>
          <w:bCs/>
        </w:rPr>
      </w:pPr>
    </w:p>
    <w:p w:rsidR="009D0E63" w:rsidRPr="009D0E63" w:rsidRDefault="009D0E63" w:rsidP="009D0E63">
      <w:pPr>
        <w:jc w:val="both"/>
        <w:rPr>
          <w:rFonts w:ascii="Times New Roman" w:hAnsi="Times New Roman" w:cs="Times New Roman"/>
        </w:rPr>
      </w:pPr>
    </w:p>
    <w:sectPr w:rsidR="009D0E63" w:rsidRPr="009D0E63" w:rsidSect="009165E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037025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936F13"/>
    <w:multiLevelType w:val="hybridMultilevel"/>
    <w:tmpl w:val="D3D4FB5C"/>
    <w:lvl w:ilvl="0" w:tplc="BA4EE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286804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4E97AA">
      <w:start w:val="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00D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12B4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5633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FEC74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B3A9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C646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7081AD6"/>
    <w:multiLevelType w:val="hybridMultilevel"/>
    <w:tmpl w:val="23525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4188"/>
    <w:multiLevelType w:val="hybridMultilevel"/>
    <w:tmpl w:val="C1BE3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1712CE"/>
    <w:multiLevelType w:val="hybridMultilevel"/>
    <w:tmpl w:val="3A308BDE"/>
    <w:lvl w:ilvl="0" w:tplc="6186B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8A6C2">
      <w:start w:val="1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05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23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18F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F6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C4B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0F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B0F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76C470B"/>
    <w:multiLevelType w:val="hybridMultilevel"/>
    <w:tmpl w:val="7EF2AEEC"/>
    <w:lvl w:ilvl="0" w:tplc="34701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B681BE">
      <w:start w:val="13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24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01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C6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8A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D01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C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6F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F36F2"/>
    <w:multiLevelType w:val="hybridMultilevel"/>
    <w:tmpl w:val="4DAAE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596A4F"/>
    <w:multiLevelType w:val="hybridMultilevel"/>
    <w:tmpl w:val="6B8A1254"/>
    <w:lvl w:ilvl="0" w:tplc="7FCA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6E6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F24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204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4E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80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20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7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A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501F8A"/>
    <w:multiLevelType w:val="hybridMultilevel"/>
    <w:tmpl w:val="34A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44332"/>
    <w:multiLevelType w:val="hybridMultilevel"/>
    <w:tmpl w:val="16F8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4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4"/>
  </w:num>
  <w:num w:numId="5">
    <w:abstractNumId w:val="20"/>
  </w:num>
  <w:num w:numId="6">
    <w:abstractNumId w:val="24"/>
  </w:num>
  <w:num w:numId="7">
    <w:abstractNumId w:val="0"/>
  </w:num>
  <w:num w:numId="8">
    <w:abstractNumId w:val="3"/>
  </w:num>
  <w:num w:numId="9">
    <w:abstractNumId w:val="2"/>
  </w:num>
  <w:num w:numId="10">
    <w:abstractNumId w:val="23"/>
  </w:num>
  <w:num w:numId="11">
    <w:abstractNumId w:val="21"/>
  </w:num>
  <w:num w:numId="12">
    <w:abstractNumId w:val="8"/>
  </w:num>
  <w:num w:numId="13">
    <w:abstractNumId w:val="15"/>
  </w:num>
  <w:num w:numId="14">
    <w:abstractNumId w:val="1"/>
  </w:num>
  <w:num w:numId="15">
    <w:abstractNumId w:val="1"/>
  </w:num>
  <w:num w:numId="16">
    <w:abstractNumId w:val="1"/>
  </w:num>
  <w:num w:numId="17">
    <w:abstractNumId w:val="19"/>
  </w:num>
  <w:num w:numId="18">
    <w:abstractNumId w:val="18"/>
  </w:num>
  <w:num w:numId="19">
    <w:abstractNumId w:val="9"/>
  </w:num>
  <w:num w:numId="20">
    <w:abstractNumId w:val="11"/>
  </w:num>
  <w:num w:numId="21">
    <w:abstractNumId w:val="10"/>
  </w:num>
  <w:num w:numId="22">
    <w:abstractNumId w:val="5"/>
  </w:num>
  <w:num w:numId="23">
    <w:abstractNumId w:val="16"/>
  </w:num>
  <w:num w:numId="24">
    <w:abstractNumId w:val="22"/>
  </w:num>
  <w:num w:numId="25">
    <w:abstractNumId w:val="12"/>
  </w:num>
  <w:num w:numId="26">
    <w:abstractNumId w:val="17"/>
  </w:num>
  <w:num w:numId="27">
    <w:abstractNumId w:val="13"/>
  </w:num>
  <w:num w:numId="2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25810"/>
    <w:rsid w:val="00030673"/>
    <w:rsid w:val="0003302C"/>
    <w:rsid w:val="00057504"/>
    <w:rsid w:val="00061479"/>
    <w:rsid w:val="00063A6A"/>
    <w:rsid w:val="00063E53"/>
    <w:rsid w:val="000856C4"/>
    <w:rsid w:val="0009453A"/>
    <w:rsid w:val="000A3D9A"/>
    <w:rsid w:val="000C396E"/>
    <w:rsid w:val="000D1B56"/>
    <w:rsid w:val="000D76C9"/>
    <w:rsid w:val="000F1467"/>
    <w:rsid w:val="0011282E"/>
    <w:rsid w:val="001236DF"/>
    <w:rsid w:val="00125144"/>
    <w:rsid w:val="00134947"/>
    <w:rsid w:val="001572E9"/>
    <w:rsid w:val="001715F3"/>
    <w:rsid w:val="00173267"/>
    <w:rsid w:val="00191696"/>
    <w:rsid w:val="001A54F7"/>
    <w:rsid w:val="001B746F"/>
    <w:rsid w:val="001E34C7"/>
    <w:rsid w:val="001F1C68"/>
    <w:rsid w:val="002204F5"/>
    <w:rsid w:val="0022313F"/>
    <w:rsid w:val="002331C9"/>
    <w:rsid w:val="0028294E"/>
    <w:rsid w:val="00287311"/>
    <w:rsid w:val="002A46AF"/>
    <w:rsid w:val="002B1C81"/>
    <w:rsid w:val="002D1463"/>
    <w:rsid w:val="002E414E"/>
    <w:rsid w:val="002F01B6"/>
    <w:rsid w:val="002F390C"/>
    <w:rsid w:val="002F6DD6"/>
    <w:rsid w:val="00313386"/>
    <w:rsid w:val="00346CDC"/>
    <w:rsid w:val="003517AC"/>
    <w:rsid w:val="00355C18"/>
    <w:rsid w:val="00363C5A"/>
    <w:rsid w:val="00364D61"/>
    <w:rsid w:val="0036590F"/>
    <w:rsid w:val="003677C3"/>
    <w:rsid w:val="00387607"/>
    <w:rsid w:val="003A3056"/>
    <w:rsid w:val="003A4634"/>
    <w:rsid w:val="003B3878"/>
    <w:rsid w:val="003D02C7"/>
    <w:rsid w:val="003D70AB"/>
    <w:rsid w:val="003D7D3E"/>
    <w:rsid w:val="003E0145"/>
    <w:rsid w:val="003E5855"/>
    <w:rsid w:val="003F259B"/>
    <w:rsid w:val="003F3DC9"/>
    <w:rsid w:val="004040EB"/>
    <w:rsid w:val="00412317"/>
    <w:rsid w:val="00413AB3"/>
    <w:rsid w:val="0043007F"/>
    <w:rsid w:val="00431084"/>
    <w:rsid w:val="0043623A"/>
    <w:rsid w:val="0047596D"/>
    <w:rsid w:val="00493F97"/>
    <w:rsid w:val="004A6921"/>
    <w:rsid w:val="004B26B6"/>
    <w:rsid w:val="004B5767"/>
    <w:rsid w:val="004E2868"/>
    <w:rsid w:val="00506833"/>
    <w:rsid w:val="00517CBE"/>
    <w:rsid w:val="00526BE8"/>
    <w:rsid w:val="00534C2C"/>
    <w:rsid w:val="005424C7"/>
    <w:rsid w:val="00547DF7"/>
    <w:rsid w:val="00551800"/>
    <w:rsid w:val="005657D0"/>
    <w:rsid w:val="005812D6"/>
    <w:rsid w:val="005873E6"/>
    <w:rsid w:val="00591658"/>
    <w:rsid w:val="0059205B"/>
    <w:rsid w:val="005D1738"/>
    <w:rsid w:val="00603796"/>
    <w:rsid w:val="0062163A"/>
    <w:rsid w:val="0067044E"/>
    <w:rsid w:val="00672F37"/>
    <w:rsid w:val="00673E97"/>
    <w:rsid w:val="00675CBC"/>
    <w:rsid w:val="00676F4E"/>
    <w:rsid w:val="00680856"/>
    <w:rsid w:val="0069692A"/>
    <w:rsid w:val="006C161B"/>
    <w:rsid w:val="006D485B"/>
    <w:rsid w:val="006F6BA3"/>
    <w:rsid w:val="00715C06"/>
    <w:rsid w:val="007240E2"/>
    <w:rsid w:val="007356C1"/>
    <w:rsid w:val="00747EC0"/>
    <w:rsid w:val="0075687B"/>
    <w:rsid w:val="00761079"/>
    <w:rsid w:val="007815FB"/>
    <w:rsid w:val="00787B4A"/>
    <w:rsid w:val="007907E8"/>
    <w:rsid w:val="007A003A"/>
    <w:rsid w:val="007A414C"/>
    <w:rsid w:val="007B182D"/>
    <w:rsid w:val="007B34FC"/>
    <w:rsid w:val="007C1E85"/>
    <w:rsid w:val="007D5AE9"/>
    <w:rsid w:val="007E5CBE"/>
    <w:rsid w:val="007F6E43"/>
    <w:rsid w:val="0080007E"/>
    <w:rsid w:val="0080079B"/>
    <w:rsid w:val="00816C12"/>
    <w:rsid w:val="0083115C"/>
    <w:rsid w:val="00843E15"/>
    <w:rsid w:val="008462E4"/>
    <w:rsid w:val="00850EA2"/>
    <w:rsid w:val="00851019"/>
    <w:rsid w:val="00852F62"/>
    <w:rsid w:val="00872340"/>
    <w:rsid w:val="00887A31"/>
    <w:rsid w:val="008908E0"/>
    <w:rsid w:val="008924E1"/>
    <w:rsid w:val="00893256"/>
    <w:rsid w:val="008B44E3"/>
    <w:rsid w:val="008C4049"/>
    <w:rsid w:val="008D48DE"/>
    <w:rsid w:val="008F07FE"/>
    <w:rsid w:val="00907A25"/>
    <w:rsid w:val="00907A6B"/>
    <w:rsid w:val="009165ED"/>
    <w:rsid w:val="0093259E"/>
    <w:rsid w:val="00932F42"/>
    <w:rsid w:val="00943557"/>
    <w:rsid w:val="00946EA2"/>
    <w:rsid w:val="009536D6"/>
    <w:rsid w:val="0096116B"/>
    <w:rsid w:val="009632F8"/>
    <w:rsid w:val="00974FA4"/>
    <w:rsid w:val="0098243A"/>
    <w:rsid w:val="00985921"/>
    <w:rsid w:val="00985BF0"/>
    <w:rsid w:val="009872EE"/>
    <w:rsid w:val="00995FA7"/>
    <w:rsid w:val="009B2EA8"/>
    <w:rsid w:val="009C1315"/>
    <w:rsid w:val="009D0E63"/>
    <w:rsid w:val="009D15DE"/>
    <w:rsid w:val="009D3787"/>
    <w:rsid w:val="009F4B23"/>
    <w:rsid w:val="00A04508"/>
    <w:rsid w:val="00A0731F"/>
    <w:rsid w:val="00A33581"/>
    <w:rsid w:val="00A37652"/>
    <w:rsid w:val="00A40B54"/>
    <w:rsid w:val="00A451C9"/>
    <w:rsid w:val="00A578ED"/>
    <w:rsid w:val="00A617FE"/>
    <w:rsid w:val="00A66F08"/>
    <w:rsid w:val="00A6753F"/>
    <w:rsid w:val="00A67588"/>
    <w:rsid w:val="00A844F9"/>
    <w:rsid w:val="00AA58BF"/>
    <w:rsid w:val="00AB2A33"/>
    <w:rsid w:val="00AC3390"/>
    <w:rsid w:val="00AD3897"/>
    <w:rsid w:val="00AE5157"/>
    <w:rsid w:val="00AE7B4D"/>
    <w:rsid w:val="00B01964"/>
    <w:rsid w:val="00B04133"/>
    <w:rsid w:val="00B1627B"/>
    <w:rsid w:val="00B40894"/>
    <w:rsid w:val="00B50189"/>
    <w:rsid w:val="00B51417"/>
    <w:rsid w:val="00B54C33"/>
    <w:rsid w:val="00B67B7B"/>
    <w:rsid w:val="00B80AA5"/>
    <w:rsid w:val="00B90101"/>
    <w:rsid w:val="00B9047A"/>
    <w:rsid w:val="00BA6C17"/>
    <w:rsid w:val="00BA75CB"/>
    <w:rsid w:val="00BC51DA"/>
    <w:rsid w:val="00BD3E4E"/>
    <w:rsid w:val="00BE664D"/>
    <w:rsid w:val="00BF3E81"/>
    <w:rsid w:val="00C17CE9"/>
    <w:rsid w:val="00C32F84"/>
    <w:rsid w:val="00C4425B"/>
    <w:rsid w:val="00C44339"/>
    <w:rsid w:val="00C509F9"/>
    <w:rsid w:val="00C51158"/>
    <w:rsid w:val="00C71015"/>
    <w:rsid w:val="00C732DA"/>
    <w:rsid w:val="00C7707B"/>
    <w:rsid w:val="00C853EC"/>
    <w:rsid w:val="00C9274F"/>
    <w:rsid w:val="00C93FA6"/>
    <w:rsid w:val="00CD61C7"/>
    <w:rsid w:val="00CF2A3D"/>
    <w:rsid w:val="00CF5893"/>
    <w:rsid w:val="00D05639"/>
    <w:rsid w:val="00D06F20"/>
    <w:rsid w:val="00D11FD8"/>
    <w:rsid w:val="00D1454E"/>
    <w:rsid w:val="00D2102F"/>
    <w:rsid w:val="00D224FF"/>
    <w:rsid w:val="00D32C73"/>
    <w:rsid w:val="00D401EE"/>
    <w:rsid w:val="00D51DB9"/>
    <w:rsid w:val="00D526CD"/>
    <w:rsid w:val="00D56EE7"/>
    <w:rsid w:val="00D64190"/>
    <w:rsid w:val="00D73540"/>
    <w:rsid w:val="00D825E9"/>
    <w:rsid w:val="00D84A9C"/>
    <w:rsid w:val="00D922C2"/>
    <w:rsid w:val="00DC46DF"/>
    <w:rsid w:val="00DD2C4D"/>
    <w:rsid w:val="00DE780F"/>
    <w:rsid w:val="00DE7E94"/>
    <w:rsid w:val="00E11063"/>
    <w:rsid w:val="00E112BE"/>
    <w:rsid w:val="00E12272"/>
    <w:rsid w:val="00E14542"/>
    <w:rsid w:val="00E157F4"/>
    <w:rsid w:val="00E25CCE"/>
    <w:rsid w:val="00E3586A"/>
    <w:rsid w:val="00E54C81"/>
    <w:rsid w:val="00E7284C"/>
    <w:rsid w:val="00E91B4C"/>
    <w:rsid w:val="00EB3853"/>
    <w:rsid w:val="00EC3378"/>
    <w:rsid w:val="00EC75B5"/>
    <w:rsid w:val="00F04084"/>
    <w:rsid w:val="00F102E3"/>
    <w:rsid w:val="00F166F4"/>
    <w:rsid w:val="00F20C2C"/>
    <w:rsid w:val="00F3459C"/>
    <w:rsid w:val="00F40CA9"/>
    <w:rsid w:val="00F51694"/>
    <w:rsid w:val="00F56C6C"/>
    <w:rsid w:val="00F67DAE"/>
    <w:rsid w:val="00F728CA"/>
    <w:rsid w:val="00F72B46"/>
    <w:rsid w:val="00F94C81"/>
    <w:rsid w:val="00FB7AAA"/>
    <w:rsid w:val="00FF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1E213-22CB-4016-9371-B675433C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4</cp:revision>
  <dcterms:created xsi:type="dcterms:W3CDTF">2015-04-14T05:53:00Z</dcterms:created>
  <dcterms:modified xsi:type="dcterms:W3CDTF">2015-04-16T20:04:00Z</dcterms:modified>
</cp:coreProperties>
</file>